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28"/>
          <w:lang w:val="en-US" w:eastAsia="zh-CN"/>
        </w:rPr>
      </w:pPr>
      <w:r>
        <w:rPr>
          <w:rFonts w:hint="eastAsia"/>
          <w:sz w:val="28"/>
          <w:szCs w:val="28"/>
          <w:lang w:val="en-US" w:eastAsia="zh-CN"/>
        </w:rPr>
        <w:t>《探究的场所—现代大学的科研和研究生教育》读书报告</w:t>
      </w:r>
    </w:p>
    <w:p>
      <w:pPr>
        <w:jc w:val="center"/>
        <w:rPr>
          <w:rFonts w:hint="eastAsia"/>
          <w:lang w:val="en-US" w:eastAsia="zh-CN"/>
        </w:rPr>
      </w:pPr>
      <w:r>
        <w:rPr>
          <w:rFonts w:hint="eastAsia"/>
          <w:lang w:val="en-US" w:eastAsia="zh-CN"/>
        </w:rPr>
        <w:t>作者：伯顿·克拉克</w:t>
      </w:r>
    </w:p>
    <w:p>
      <w:pPr>
        <w:jc w:val="center"/>
        <w:rPr>
          <w:rFonts w:hint="eastAsia"/>
          <w:lang w:val="en-US" w:eastAsia="zh-CN"/>
        </w:rPr>
      </w:pPr>
      <w:r>
        <w:rPr>
          <w:rFonts w:hint="eastAsia"/>
          <w:lang w:val="en-US" w:eastAsia="zh-CN"/>
        </w:rPr>
        <w:t>（浙江教育出版社，2001年第1版）</w:t>
      </w:r>
    </w:p>
    <w:p>
      <w:pPr>
        <w:jc w:val="center"/>
        <w:rPr>
          <w:rFonts w:hint="default"/>
          <w:lang w:val="en-US" w:eastAsia="zh-CN"/>
        </w:rPr>
      </w:pPr>
      <w:r>
        <w:rPr>
          <w:rFonts w:hint="eastAsia"/>
          <w:lang w:val="en-US" w:eastAsia="zh-CN"/>
        </w:rPr>
        <w:t xml:space="preserve"> </w:t>
      </w:r>
    </w:p>
    <w:p>
      <w:pPr>
        <w:ind w:firstLine="420" w:firstLineChars="200"/>
        <w:jc w:val="both"/>
        <w:rPr>
          <w:rFonts w:hint="eastAsia"/>
          <w:lang w:val="en-US" w:eastAsia="zh-CN"/>
        </w:rPr>
      </w:pPr>
      <w:r>
        <w:rPr>
          <w:rFonts w:hint="eastAsia"/>
          <w:lang w:val="en-US" w:eastAsia="zh-CN"/>
        </w:rPr>
        <w:t>伯顿·克拉克，美国加州大学洛杉矶分校高等教育和社会学教授，比较高等教育研究中心主任。此前曾在斯坦福大学、哈佛大学、加州大学伯克莱分校以及耶鲁大学高等教育研究室主任，是美国当代著名的高等教育学者，也是一位有较高学术造诣的社会学者。其所著的相关高等教育作品，如《高等教育系统——学术组织的跨国研究》、《高等教育新论——八个学科和比较的观点》等引入国内后在学术界产生了很大影响。</w:t>
      </w:r>
    </w:p>
    <w:p>
      <w:pPr>
        <w:ind w:firstLine="420" w:firstLineChars="200"/>
        <w:jc w:val="both"/>
        <w:rPr>
          <w:rFonts w:hint="default"/>
          <w:lang w:val="en-US" w:eastAsia="zh-CN"/>
        </w:rPr>
      </w:pPr>
      <w:r>
        <w:rPr>
          <w:rFonts w:hint="eastAsia"/>
          <w:lang w:val="en-US" w:eastAsia="zh-CN"/>
        </w:rPr>
        <w:t>伯顿·克拉克主要致力于高等教育的比较研究，擅长组织分析和跨国研究，从内部揭示高等教育的特性及高等院校的运行规律。相似的，本书也是在对德、英、法、美、日五国研究生教育进行比较研究的基础上，论述了这五个国家大学实施科研与教学相结合的实际情况，并对科研、教学、学习这三者之间的连结进行了研究和讨论。</w:t>
      </w:r>
    </w:p>
    <w:p>
      <w:pPr>
        <w:ind w:firstLine="422" w:firstLineChars="200"/>
        <w:jc w:val="both"/>
        <w:rPr>
          <w:rFonts w:hint="eastAsia"/>
          <w:b/>
          <w:bCs/>
          <w:lang w:val="en-US" w:eastAsia="zh-CN"/>
        </w:rPr>
      </w:pPr>
      <w:r>
        <w:rPr>
          <w:rFonts w:hint="eastAsia"/>
          <w:b/>
          <w:bCs/>
          <w:lang w:val="en-US" w:eastAsia="zh-CN"/>
        </w:rPr>
        <w:t>一、五个国家的研究生教育和科研组织结构</w:t>
      </w:r>
    </w:p>
    <w:p>
      <w:pPr>
        <w:ind w:firstLine="420" w:firstLineChars="200"/>
        <w:jc w:val="both"/>
        <w:rPr>
          <w:rFonts w:hint="eastAsia"/>
          <w:lang w:val="en-US" w:eastAsia="zh-CN"/>
        </w:rPr>
      </w:pPr>
      <w:r>
        <w:rPr>
          <w:rFonts w:hint="eastAsia"/>
          <w:lang w:val="en-US" w:eastAsia="zh-CN"/>
        </w:rPr>
        <w:t>克拉克教授根据五国大学的研究生教育特点，将其概括为五种不同的大学类型：德国的“研究所型大学”、英国的“学院型大学”、法国的“研究院型大学”、美国的“研究生院型大学”以及日本的“应用型大学”。</w:t>
      </w:r>
    </w:p>
    <w:p>
      <w:pPr>
        <w:ind w:firstLine="420" w:firstLineChars="200"/>
        <w:jc w:val="both"/>
        <w:rPr>
          <w:rFonts w:hint="eastAsia"/>
          <w:lang w:val="en-US" w:eastAsia="zh-CN"/>
        </w:rPr>
      </w:pPr>
      <w:r>
        <w:rPr>
          <w:rFonts w:hint="eastAsia" w:ascii="黑体" w:hAnsi="黑体" w:eastAsia="黑体" w:cs="黑体"/>
          <w:lang w:val="en-US" w:eastAsia="zh-CN"/>
        </w:rPr>
        <w:t>德国的“研究所型大学”。</w:t>
      </w:r>
      <w:r>
        <w:rPr>
          <w:rFonts w:hint="eastAsia"/>
          <w:lang w:val="en-US" w:eastAsia="zh-CN"/>
        </w:rPr>
        <w:t>德国的研究生教育发端于19世纪初期，伴随着德国的统一和德国大学的改革而兴起，德国的高等教育的教学与科研为德国的强盛注入了强劲的动力。在19世纪后半期德国高校开始研究生教育的改革，这次改革遵循的洪堡原则——把科研、教学和学习统一在一起，奠定了19世纪后半叶德国的各个大学在世界的地位，成为欧洲学术研究中心，德国的大学系统在国际上也成为了如何把科研变成高级教学和学习的基础的长期持续的典范。根据洪堡计划：“大学教师应该成为研究者，而他们的学生，无论是任何领域，也应该参与科研活动。”这种理念强调的是一种教师和学生共同进行真理探求的过程，是科研的伙伴。之后从19世纪20年代开始，很多新一代德国学者开始在大学里学会“如何使教学和学习的场所建立起科研的基础。”让学生能够在学校里学到如何进行科学研究。</w:t>
      </w:r>
    </w:p>
    <w:p>
      <w:pPr>
        <w:ind w:firstLine="420" w:firstLineChars="200"/>
        <w:jc w:val="both"/>
        <w:rPr>
          <w:rFonts w:hint="eastAsia"/>
          <w:lang w:val="en-US" w:eastAsia="zh-CN"/>
        </w:rPr>
      </w:pPr>
      <w:r>
        <w:rPr>
          <w:rFonts w:hint="eastAsia"/>
          <w:lang w:val="en-US" w:eastAsia="zh-CN"/>
        </w:rPr>
        <w:t>操作的工具。洪堡原则的发展与实践并不是一帆风顺，如其提出的过度的极端自由，无限制和无拘束的人文主义关怀，以及功利主义和社会利益都产生了一定的反向效果。这些变化和挑战进一步促进了两种操作工具的产生：教学—科研实验室和教学—科研研讨班，比较具有代表性的是利比希实验室和诺依曼研讨班。除此之外，德国大学的另一种重要支撑工具—研究所，也在大学回归和重建中回到了相对重要的地位。实验室、研讨班和研究所在为创造知识和讲授专门化新知识的不断增长的兴趣服务的同时，也成为促进德国教学、科研和学习相统一的重要方式。</w:t>
      </w:r>
    </w:p>
    <w:p>
      <w:pPr>
        <w:ind w:firstLine="420"/>
        <w:jc w:val="both"/>
        <w:rPr>
          <w:rFonts w:hint="eastAsia"/>
          <w:lang w:val="en-US" w:eastAsia="zh-CN"/>
        </w:rPr>
      </w:pPr>
      <w:r>
        <w:rPr>
          <w:rFonts w:hint="eastAsia" w:ascii="黑体" w:hAnsi="黑体" w:eastAsia="黑体" w:cs="黑体"/>
          <w:lang w:val="en-US" w:eastAsia="zh-CN"/>
        </w:rPr>
        <w:t>英国的“学院型大学”。</w:t>
      </w:r>
      <w:r>
        <w:rPr>
          <w:rFonts w:hint="eastAsia"/>
          <w:lang w:val="en-US" w:eastAsia="zh-CN"/>
        </w:rPr>
        <w:t>英国的高校有着悠久的历史，历史的积淀既是取之不尽的宝藏，但在一定程度上也成为了负担。英国高校有着悠久的自治传统，拥有世界上最好的本科教育和密切的师生关系，生师比在很长一段时间保持在一个非常低的水平。但是也正是因为这样，阻碍了英国大学科研能力的提高和研究生教育的发展，小型大学、小型院系的模式也让英国大学的高等教育大众化进程较为迟缓。与德国不同，英国大学的发展深受其“学院”传统的影响，最明显的一个特点就是对研究生教育以及相关科研训练的“典型性”忽视。无论是从最初牛津和剑桥的垄断，过于强调的有选择的精英式教育和缺少科研训练，还是到传统的国有化，集中的资源分配方式，都深深的影响了英国的大学传统。</w:t>
      </w:r>
    </w:p>
    <w:p>
      <w:pPr>
        <w:ind w:firstLine="420" w:firstLineChars="200"/>
        <w:jc w:val="both"/>
        <w:rPr>
          <w:rFonts w:hint="eastAsia"/>
          <w:lang w:val="en-US" w:eastAsia="zh-CN"/>
        </w:rPr>
      </w:pPr>
      <w:r>
        <w:rPr>
          <w:rFonts w:hint="eastAsia" w:ascii="黑体" w:hAnsi="黑体" w:eastAsia="黑体" w:cs="黑体"/>
          <w:lang w:val="en-US" w:eastAsia="zh-CN"/>
        </w:rPr>
        <w:t>法国的“研究院型大学”。</w:t>
      </w:r>
      <w:r>
        <w:rPr>
          <w:rFonts w:hint="eastAsia"/>
          <w:lang w:val="en-US" w:eastAsia="zh-CN"/>
        </w:rPr>
        <w:t>克拉克教授认为法国的高等教育系统是“非常特殊的”。大学一直是作为第三部分的存在而处于从属地位，这与法国长久以来的历史传统是分不开的。因为“重要大学早在18世纪后期就成为了中央政府直接的左右手和国家事业的特殊部分”，并将中等教育和高等教育联系起来，形成一种独特的方式。同时，过于轻视科研和中央集权，都是影响法国大学发展的重要历史渊源。法国高教系统属于国家政权的一部分，其教师和科研人员享有《国家公职人员法》规定的权利和特权。在法国，教学与科研是分离的，其联系有赖于校内或校外的第三方科研中心，这样的模式，被克拉克教授称为“研究院型大学”。</w:t>
      </w:r>
    </w:p>
    <w:p>
      <w:pPr>
        <w:ind w:firstLine="420" w:firstLineChars="200"/>
        <w:jc w:val="both"/>
        <w:rPr>
          <w:rFonts w:hint="eastAsia"/>
          <w:lang w:val="en-US" w:eastAsia="zh-CN"/>
        </w:rPr>
      </w:pPr>
      <w:r>
        <w:rPr>
          <w:rFonts w:hint="eastAsia" w:ascii="黑体" w:hAnsi="黑体" w:eastAsia="黑体" w:cs="黑体"/>
          <w:lang w:val="en-US" w:eastAsia="zh-CN"/>
        </w:rPr>
        <w:t>美国的“研究生院型大学”。</w:t>
      </w:r>
      <w:r>
        <w:rPr>
          <w:rFonts w:hint="eastAsia"/>
          <w:lang w:val="en-US" w:eastAsia="zh-CN"/>
        </w:rPr>
        <w:t>19世纪以来，许多美国人前往欧洲，特别是德国，获取先进知识和技术，并带回美国。在与本土的小学院不断碰撞的过程中，确立了研究生院这一组织体制，逐渐确立了美国高等教育的新形式。不同于法国中央集权的传统，美国的高等教育发展是非常自由的，“学院”的概念在美国人的意识里根植很深，后来在新的形势下不断发展而形成大学，也越来越重视科研的力量，并在竞争性的关系中更加多样化发展和分化。同时，美国研究生教育的革新离不开多样化的赞助和政府资助。大学并不仅仅依赖中央和州政府资助，同时还得到外部赞助者的赞助，既包括院校也包括私人赞助者。不可否认，这种也多样化也为大学的自治提供了保证，非常有利于激发地方和州的创造性。</w:t>
      </w:r>
    </w:p>
    <w:p>
      <w:pPr>
        <w:ind w:firstLine="420" w:firstLineChars="200"/>
        <w:jc w:val="both"/>
        <w:rPr>
          <w:rFonts w:hint="default"/>
          <w:lang w:val="en-US" w:eastAsia="zh-CN"/>
        </w:rPr>
      </w:pPr>
      <w:r>
        <w:rPr>
          <w:rFonts w:hint="eastAsia" w:ascii="黑体" w:hAnsi="黑体" w:eastAsia="黑体" w:cs="黑体"/>
          <w:lang w:val="en-US" w:eastAsia="zh-CN"/>
        </w:rPr>
        <w:t>日本的“应用型大学”。</w:t>
      </w:r>
      <w:r>
        <w:rPr>
          <w:rFonts w:hint="eastAsia"/>
          <w:lang w:val="en-US" w:eastAsia="zh-CN"/>
        </w:rPr>
        <w:t>与其他四个国家不同，日本大学呈现出更多的实用主义倾向。不同于美国，日本研究生院的发展主要源于政府的主观促成，本科生阶段大部分被专业教育占据，比较少的学生进行研究生学习，就算是学习，也是主要攻读专业学位。日本的高等教育中很大的比重是工程教育，并且拥有工学硕士学位是进入管理阶层的重要手段。在20世纪80年代后期，日本政府对于科研的财政拨款有接近3/4流向工程教育。日本企业在日本研究生教育中占据主导地位，硕士研究生的培养基于企业导向，并且是学生生涯的终点、职业生涯的起点。博士学位更是一种“荣誉性质”，通常在于在业界功成名就之后由大学授予。“日本工业已经成为应用研究和有关的科研训练的大本营”，这样的一种模式，被克拉克成为“应用型大学”。</w:t>
      </w:r>
    </w:p>
    <w:p>
      <w:pPr>
        <w:ind w:firstLine="422" w:firstLineChars="200"/>
        <w:jc w:val="both"/>
        <w:rPr>
          <w:rFonts w:hint="default"/>
          <w:b/>
          <w:bCs/>
          <w:lang w:val="en-US" w:eastAsia="zh-CN"/>
        </w:rPr>
      </w:pPr>
      <w:r>
        <w:rPr>
          <w:rFonts w:hint="eastAsia"/>
          <w:b/>
          <w:bCs/>
          <w:lang w:val="en-US" w:eastAsia="zh-CN"/>
        </w:rPr>
        <w:t>二、科研—教学—学习连结体</w:t>
      </w:r>
    </w:p>
    <w:p>
      <w:pPr>
        <w:jc w:val="both"/>
        <w:rPr>
          <w:rFonts w:hint="eastAsia"/>
          <w:lang w:val="en-US" w:eastAsia="zh-CN"/>
        </w:rPr>
      </w:pPr>
      <w:r>
        <w:rPr>
          <w:rFonts w:hint="eastAsia"/>
          <w:lang w:val="en-US" w:eastAsia="zh-CN"/>
        </w:rPr>
        <w:t xml:space="preserve">    在说清楚各个国家研究生教育如何在大学这个“探究的场所”内开展教学与科研的活动之后，克拉克教授又论述了影响科研、教学和学习这三者连结的两方面影响因素：分化的力量和整合的条件。</w:t>
      </w:r>
    </w:p>
    <w:p>
      <w:pPr>
        <w:ind w:firstLine="420"/>
        <w:jc w:val="both"/>
        <w:rPr>
          <w:rFonts w:hint="eastAsia"/>
          <w:lang w:val="en-US" w:eastAsia="zh-CN"/>
        </w:rPr>
      </w:pPr>
      <w:r>
        <w:rPr>
          <w:rFonts w:hint="eastAsia"/>
          <w:lang w:val="en-US" w:eastAsia="zh-CN"/>
        </w:rPr>
        <w:t>关于分化的力量，克拉克教授在书中指出，从国际上看，推动高等教育与科学研究相分离存在四个共同趋势：大众化高等教育运动、劳动力市场对各行专家需求的增长、前沿知识和现有可教的知识之间不断增长的断裂，以及政府赞助和监督的增强。而分离连接体的力量存在两种漂移形式，即科研的漂移和教学的漂移。所谓科研的漂流，指的是内容上各个国家科研和学术呈现出以学科、专业和跨学科科目的形式，进行着强化和分化，产生一种“强烈分裂的趋势”，结构上表现为科研扩展到大学之外，成为“民用政府机构、非盈利部门以及工业等的一项共同活动”。所谓教学的漂移，主要是指各国“集中教学，某些背景被撤离科研”的现象。体现在：高校类型之间的分化、大学和学院内部各专业层次分化以及大学学习本身高层次内部的分化这三种形式。在此过程中，政府和工业的利益驱动作为分离的力量在科研漂移和教学漂移中起着重要的作用。</w:t>
      </w:r>
    </w:p>
    <w:p>
      <w:pPr>
        <w:ind w:firstLine="420"/>
        <w:jc w:val="both"/>
        <w:rPr>
          <w:rFonts w:hint="default"/>
          <w:lang w:val="en-US" w:eastAsia="zh-CN"/>
        </w:rPr>
      </w:pPr>
      <w:r>
        <w:rPr>
          <w:rFonts w:hint="eastAsia"/>
          <w:lang w:val="en-US" w:eastAsia="zh-CN"/>
        </w:rPr>
        <w:t>关于整合的力量，克拉克教授同时指出，虽然教学、科研、学习这三者间的连结面临着以上分化力量的影响，但全国高教系统、大学和基层单位的存在是促进教学、科研、学习三者整合的有利条件。他认为，国家的高等教育系统由各级教育行政部门、大学系科、研究群体组成，层次多样，组织复杂，还包括大量学术活动。在上层也许正确的东西，在底层可能并非如此。因此，在讨论整合的条件时至少要仔细考察高教系统、各大学机构和基层单位三个层次。</w:t>
      </w:r>
    </w:p>
    <w:p>
      <w:pPr>
        <w:ind w:firstLine="420"/>
        <w:jc w:val="both"/>
        <w:rPr>
          <w:rFonts w:hint="eastAsia"/>
          <w:b/>
          <w:bCs/>
          <w:lang w:val="en-US" w:eastAsia="zh-CN"/>
        </w:rPr>
      </w:pPr>
      <w:r>
        <w:rPr>
          <w:rFonts w:hint="eastAsia"/>
          <w:b/>
          <w:bCs/>
          <w:lang w:val="en-US" w:eastAsia="zh-CN"/>
        </w:rPr>
        <w:t>三、对本书突出贡献的一点思考</w:t>
      </w:r>
    </w:p>
    <w:p>
      <w:pPr>
        <w:ind w:firstLine="420"/>
        <w:jc w:val="both"/>
        <w:rPr>
          <w:rFonts w:hint="default"/>
          <w:lang w:val="en-US" w:eastAsia="zh-CN"/>
        </w:rPr>
      </w:pPr>
      <w:r>
        <w:rPr>
          <w:rFonts w:hint="eastAsia"/>
          <w:lang w:val="en-US" w:eastAsia="zh-CN"/>
        </w:rPr>
        <w:t>在本书中，克拉克教授客观地展现五个典型国家教学与科研相结合的情况，并且精准地概括了不同国家的特点，称之为五个不同的类型。这一做法的卓越之处在于，作者敏锐地捕捉到了影响大学绩效的关键因素。作为整个社会的一部分，与其他组织类似，大学与外界特别是政府和企业的关系、在社会之中所扮演的角色和所处的方位，以及自身的组织结构安排，都足以影响大学的绩效高低，形成不同类型、不同层次的大学，这也是统领全书的逻辑暗线。与此相似，克拉克教授在另一本为人所熟知的高等教育著作《高等教育系统—学术组织的跨国研究》中，同样是关注到了类似的问题，并根据政府与大学关系，将世界高等教育划分为集权体制、自治体制和市场体制三种体制，在不同的制度安排下，形成了面貌迥异的大学。</w:t>
      </w:r>
    </w:p>
    <w:p>
      <w:pPr>
        <w:ind w:firstLine="420"/>
        <w:jc w:val="both"/>
        <w:rPr>
          <w:rFonts w:hint="default"/>
          <w:lang w:val="en-US" w:eastAsia="zh-CN"/>
        </w:rPr>
      </w:pPr>
      <w:r>
        <w:rPr>
          <w:rFonts w:hint="eastAsia"/>
          <w:lang w:val="en-US" w:eastAsia="zh-CN"/>
        </w:rPr>
        <w:t>在推进双一流高校建设的大背景下，大学与国家的关系维度显得尤为重要。按照克拉克教授的观点，大学与国家社会的关系、大学的组织结构改革等“外在因素”，都是影响大学办学成效的关键。因此，尽管是</w:t>
      </w:r>
      <w:r>
        <w:rPr>
          <w:rFonts w:hint="eastAsia"/>
          <w:u w:val="none"/>
          <w:lang w:val="en-US" w:eastAsia="zh-CN"/>
        </w:rPr>
        <w:t>探究的场</w:t>
      </w:r>
      <w:r>
        <w:rPr>
          <w:rFonts w:hint="eastAsia"/>
          <w:lang w:val="en-US" w:eastAsia="zh-CN"/>
        </w:rPr>
        <w:t>所，大学在追求高深知识的同时，对于那些“与知识本身无关”的因素，可能同样应该予以高度</w:t>
      </w:r>
      <w:bookmarkStart w:id="0" w:name="_GoBack"/>
      <w:bookmarkEnd w:id="0"/>
      <w:r>
        <w:rPr>
          <w:rFonts w:hint="eastAsia"/>
          <w:lang w:val="en-US" w:eastAsia="zh-CN"/>
        </w:rPr>
        <w:t>关注。</w:t>
      </w:r>
    </w:p>
    <w:p>
      <w:pPr>
        <w:ind w:firstLine="420"/>
        <w:jc w:val="both"/>
        <w:rPr>
          <w:rFonts w:hint="default"/>
          <w:lang w:val="en-US" w:eastAsia="zh-CN"/>
        </w:rPr>
      </w:pPr>
    </w:p>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光报宋二_CNKI">
    <w:panose1 w:val="02000500000000000000"/>
    <w:charset w:val="86"/>
    <w:family w:val="auto"/>
    <w:pitch w:val="default"/>
    <w:sig w:usb0="A00002BF" w:usb1="38CF7CFA" w:usb2="00000016" w:usb3="00000000" w:csb0="0004000F" w:csb1="00000000"/>
  </w:font>
  <w:font w:name="华光粗黑_CNKI">
    <w:panose1 w:val="02000500000000000000"/>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光报宋_CNKI">
    <w:panose1 w:val="02000500000000000000"/>
    <w:charset w:val="86"/>
    <w:family w:val="auto"/>
    <w:pitch w:val="default"/>
    <w:sig w:usb0="A00002BF" w:usb1="38CF7CFA" w:usb2="00000016" w:usb3="00000000" w:csb0="0004000F" w:csb1="00000000"/>
  </w:font>
  <w:font w:name="华光超粗黑_CNKI">
    <w:panose1 w:val="02000500000000000000"/>
    <w:charset w:val="86"/>
    <w:family w:val="auto"/>
    <w:pitch w:val="default"/>
    <w:sig w:usb0="A00002BF" w:usb1="18CF7CFA" w:usb2="00000016" w:usb3="00000000" w:csb0="0004000F" w:csb1="00000000"/>
  </w:font>
  <w:font w:name="华光淡古印_CNKI">
    <w:panose1 w:val="02000500000000000000"/>
    <w:charset w:val="86"/>
    <w:family w:val="auto"/>
    <w:pitch w:val="default"/>
    <w:sig w:usb0="A00002BF" w:usb1="38CF7CFA" w:usb2="00000016" w:usb3="00000000" w:csb0="0004000F" w:csb1="00000000"/>
  </w:font>
  <w:font w:name="华光黑变_CNKI">
    <w:panose1 w:val="02000500000000000000"/>
    <w:charset w:val="86"/>
    <w:family w:val="auto"/>
    <w:pitch w:val="default"/>
    <w:sig w:usb0="A00002BF" w:usb1="18CF7CFA" w:usb2="00000016" w:usb3="00000000" w:csb0="0004000F" w:csb1="00000000"/>
  </w:font>
  <w:font w:name="华光书宋_CNKI">
    <w:panose1 w:val="02000500000000000000"/>
    <w:charset w:val="86"/>
    <w:family w:val="auto"/>
    <w:pitch w:val="default"/>
    <w:sig w:usb0="A00002BF" w:usb1="38CF7CFA" w:usb2="00000016" w:usb3="00000000" w:csb0="0004000F" w:csb1="00000000"/>
  </w:font>
  <w:font w:name="华光中雅_CNKI">
    <w:panose1 w:val="02000500000000000000"/>
    <w:charset w:val="86"/>
    <w:family w:val="auto"/>
    <w:pitch w:val="default"/>
    <w:sig w:usb0="800002BF" w:usb1="18CF7CF8" w:usb2="0000003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40CD1"/>
    <w:rsid w:val="01EF5C39"/>
    <w:rsid w:val="040739F1"/>
    <w:rsid w:val="06D44B98"/>
    <w:rsid w:val="0B4B4A38"/>
    <w:rsid w:val="0F315AEE"/>
    <w:rsid w:val="0FF56B2E"/>
    <w:rsid w:val="16F173EB"/>
    <w:rsid w:val="176F6C4D"/>
    <w:rsid w:val="1CDD399B"/>
    <w:rsid w:val="1E7A53BA"/>
    <w:rsid w:val="253D5CE1"/>
    <w:rsid w:val="25E22B6D"/>
    <w:rsid w:val="274737A0"/>
    <w:rsid w:val="29016CF7"/>
    <w:rsid w:val="29331DB9"/>
    <w:rsid w:val="29637B67"/>
    <w:rsid w:val="29E40CD1"/>
    <w:rsid w:val="2C09693C"/>
    <w:rsid w:val="2D974F0C"/>
    <w:rsid w:val="2E2D5BF9"/>
    <w:rsid w:val="320F2BA0"/>
    <w:rsid w:val="33144B10"/>
    <w:rsid w:val="33A73A26"/>
    <w:rsid w:val="391C276F"/>
    <w:rsid w:val="3ECC6892"/>
    <w:rsid w:val="407A1C81"/>
    <w:rsid w:val="436F17B9"/>
    <w:rsid w:val="44246AAB"/>
    <w:rsid w:val="452A05DF"/>
    <w:rsid w:val="487D48BA"/>
    <w:rsid w:val="4A963DDA"/>
    <w:rsid w:val="4CF4516A"/>
    <w:rsid w:val="4E2C73FE"/>
    <w:rsid w:val="51306076"/>
    <w:rsid w:val="53FC1E2E"/>
    <w:rsid w:val="541D3B67"/>
    <w:rsid w:val="560066BE"/>
    <w:rsid w:val="57E4288A"/>
    <w:rsid w:val="5BD54880"/>
    <w:rsid w:val="5EFC5E99"/>
    <w:rsid w:val="5F7D1E24"/>
    <w:rsid w:val="62F030F0"/>
    <w:rsid w:val="64083033"/>
    <w:rsid w:val="64C758EB"/>
    <w:rsid w:val="6542025E"/>
    <w:rsid w:val="665831BE"/>
    <w:rsid w:val="67C86044"/>
    <w:rsid w:val="69293A73"/>
    <w:rsid w:val="69C75646"/>
    <w:rsid w:val="6A1C1414"/>
    <w:rsid w:val="6BF8021B"/>
    <w:rsid w:val="6C0A06EF"/>
    <w:rsid w:val="6CFF3E2A"/>
    <w:rsid w:val="6F8608FF"/>
    <w:rsid w:val="72944107"/>
    <w:rsid w:val="73697E09"/>
    <w:rsid w:val="75716694"/>
    <w:rsid w:val="76196137"/>
    <w:rsid w:val="77F7435D"/>
    <w:rsid w:val="7F10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2021-11-29T14:06:00Z</dcterms:created>
  <dc:creator>legendary_24</dc:creator>
  <cp:lastModifiedBy>legendary_24</cp:lastModifiedBy>
  <dcterms:modified xsi:type="dcterms:W3CDTF">2021-11-30T08:17:23Z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629E44EBFA2C4679B8BE3F6D9F3A2E06</vt:lpwstr>
  </property>
</Properties>
</file>