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cs="Times New Roman"/>
          <w:b/>
          <w:bCs/>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cs="Times New Roman"/>
          <w:b/>
          <w:bCs/>
          <w:kern w:val="0"/>
          <w:sz w:val="32"/>
          <w:szCs w:val="32"/>
          <w:lang w:val="en-US"/>
        </w:rPr>
      </w:pPr>
      <w:r>
        <w:rPr>
          <w:rFonts w:hint="eastAsia" w:ascii="Times New Roman" w:hAnsi="Times New Roman" w:cs="Times New Roman"/>
          <w:b/>
          <w:bCs/>
          <w:kern w:val="0"/>
          <w:sz w:val="32"/>
          <w:szCs w:val="32"/>
          <w:lang w:val="en-US" w:eastAsia="zh-CN"/>
        </w:rPr>
        <w:t>《博士质量：概念、评价与趋势》读书报告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kern w:val="0"/>
          <w:sz w:val="24"/>
          <w:szCs w:val="21"/>
          <w:lang w:val="en-US" w:eastAsia="zh-CN"/>
        </w:rPr>
      </w:pPr>
      <w:r>
        <w:rPr>
          <w:rFonts w:hint="eastAsia" w:ascii="Times New Roman" w:hAnsi="Times New Roman" w:cs="Times New Roman"/>
          <w:kern w:val="0"/>
          <w:sz w:val="24"/>
          <w:szCs w:val="21"/>
          <w:lang w:val="en-US" w:eastAsia="zh-CN"/>
        </w:rPr>
        <w:t>师悦 DG20120004</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本次读书报告主要聚焦于本书中的第四章第二节“欧洲博士生教育培养模式的结构化趋势”</w:t>
      </w:r>
      <w:r>
        <w:rPr>
          <w:rFonts w:hint="eastAsia" w:ascii="Times New Roman" w:hAnsi="Times New Roman"/>
          <w:sz w:val="24"/>
          <w:lang w:val="en-US" w:eastAsia="zh-CN"/>
        </w:rPr>
        <w:t>以及书中其他涉及博士生教育培养模式结构化的内容</w:t>
      </w:r>
      <w:r>
        <w:rPr>
          <w:rFonts w:hint="eastAsia" w:ascii="Times New Roman" w:hAnsi="Times New Roman" w:eastAsia="宋体"/>
          <w:sz w:val="24"/>
          <w:lang w:val="en-US"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该章节的布局模块整理如下：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sz w:val="24"/>
                <w:vertAlign w:val="baseline"/>
                <w:lang w:val="en-US" w:eastAsia="zh-CN"/>
              </w:rPr>
            </w:pPr>
            <w:r>
              <w:rPr>
                <w:rFonts w:hint="eastAsia" w:ascii="Times New Roman" w:hAnsi="Times New Roman" w:eastAsia="宋体"/>
                <w:b/>
                <w:bCs/>
                <w:sz w:val="24"/>
                <w:vertAlign w:val="baseline"/>
                <w:lang w:val="en-US" w:eastAsia="zh-CN"/>
              </w:rPr>
              <w:t>欧洲博士生教育变革的背景与议题</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欧洲博士生教育的困境表现在三方面：</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博士生教育的指导和管理</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具体包括师徒制的单一指导模式、博士候选人录取中的不透明化、博士生学习年限国场和高淘汰率以及博士生教育的资助等等。没有对全日制和在职博士生的教育进行恰当的监管。</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博士候选人身份的模糊性</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即博士生是学生还是年轻研究者，这涉及是否需要支付薪水的问题。</w:t>
            </w:r>
          </w:p>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博士生的就业能力</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关注更为广阔的非学术界市场对高级劳动力的需求，培养博士生在广阔的劳动力市场中的就业能力。</w:t>
            </w:r>
          </w:p>
          <w:p>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b/>
                <w:bCs/>
                <w:sz w:val="24"/>
                <w:vertAlign w:val="baseline"/>
                <w:lang w:val="en-US" w:eastAsia="zh-CN"/>
              </w:rPr>
            </w:pPr>
            <w:r>
              <w:rPr>
                <w:rFonts w:hint="eastAsia" w:ascii="Times New Roman" w:hAnsi="Times New Roman" w:eastAsia="宋体"/>
                <w:b/>
                <w:bCs/>
                <w:sz w:val="24"/>
                <w:vertAlign w:val="baseline"/>
                <w:lang w:val="en-US" w:eastAsia="zh-CN"/>
              </w:rPr>
              <w:t>结构化的制度表现：研究生院的建立与扩散</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研究生院制度在欧洲的建立与扩散</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研究生院的结构与功能（五个方面）</w:t>
            </w:r>
          </w:p>
          <w:p>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b/>
                <w:bCs/>
                <w:sz w:val="24"/>
                <w:vertAlign w:val="baseline"/>
                <w:lang w:val="en-US" w:eastAsia="zh-CN"/>
              </w:rPr>
            </w:pPr>
            <w:r>
              <w:rPr>
                <w:rFonts w:hint="eastAsia" w:ascii="Times New Roman" w:hAnsi="Times New Roman" w:eastAsia="宋体"/>
                <w:b/>
                <w:bCs/>
                <w:sz w:val="24"/>
                <w:vertAlign w:val="baseline"/>
                <w:lang w:val="en-US" w:eastAsia="zh-CN"/>
              </w:rPr>
              <w:t>规范化与透明化的博士生教育训练过程</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课程训练的结构化</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2002年的德国高等教育改革将博士生教育分为三个部分：课程、研究训练和撰写博士论文。德国研究会规定，研究生院设置的课程分为必修课、限选课和选修课，每周或每两周要有一词讨论课。</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指导实践的透明化</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单一导师制——联合导师制，即实行双导师制、多导师制或导师小组制。另外，为每位博士生设立一个指导委员会，或者一个导师和管理委员会。</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学业年限的规范化</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大学应将全日制、全奖博士生的学习年限规定为4年。</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能力的培养</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结构化的一体化</w:t>
            </w:r>
          </w:p>
          <w:p>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b/>
                <w:bCs/>
                <w:sz w:val="24"/>
                <w:vertAlign w:val="baseline"/>
                <w:lang w:val="en-US" w:eastAsia="zh-CN"/>
              </w:rPr>
            </w:pPr>
            <w:r>
              <w:rPr>
                <w:rFonts w:hint="eastAsia" w:ascii="Times New Roman" w:hAnsi="Times New Roman" w:eastAsia="宋体"/>
                <w:b/>
                <w:bCs/>
                <w:sz w:val="24"/>
                <w:vertAlign w:val="baseline"/>
                <w:lang w:val="en-US" w:eastAsia="zh-CN"/>
              </w:rPr>
              <w:t>博士生教育结构化的动因分析</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博士生教育规模的扩大</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传统师徒制培养模式与社会发展的不协调性</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新公共管理对博士生教育管理和评估的影响</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学术资本主义对学术工作和指导关系的影响</w:t>
            </w:r>
          </w:p>
          <w:p>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b/>
                <w:bCs/>
                <w:sz w:val="24"/>
                <w:vertAlign w:val="baseline"/>
                <w:lang w:val="en-US" w:eastAsia="zh-CN"/>
              </w:rPr>
            </w:pPr>
            <w:r>
              <w:rPr>
                <w:rFonts w:hint="eastAsia" w:ascii="Times New Roman" w:hAnsi="Times New Roman" w:eastAsia="宋体"/>
                <w:b/>
                <w:bCs/>
                <w:sz w:val="24"/>
                <w:vertAlign w:val="baseline"/>
                <w:lang w:val="en-US" w:eastAsia="zh-CN"/>
              </w:rPr>
              <w:t>小结</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sz w:val="24"/>
                <w:vertAlign w:val="baseline"/>
                <w:lang w:val="en-US" w:eastAsia="zh-CN"/>
              </w:rPr>
            </w:pPr>
            <w:r>
              <w:rPr>
                <w:rFonts w:hint="eastAsia" w:ascii="Times New Roman" w:hAnsi="Times New Roman" w:eastAsia="宋体"/>
                <w:sz w:val="24"/>
                <w:vertAlign w:val="baseline"/>
                <w:lang w:val="en-US" w:eastAsia="zh-CN"/>
              </w:rPr>
              <w:t>博士生教育“结构化”趋势最明显的体现是研究生院制度的广泛扩散。在研究生院的组织环境中，结构化的课程、正式的指导关系取代了师徒传统的博士培养模式。另外，随着研究生院作为一种制度建立起来，结构化的课程体系、透明的指导制度和学业年限的规范化，以及对博士生可迁移性技能和通用技能培养的重视，逐渐融入博士生教育和训练的过程之中。</w:t>
            </w:r>
          </w:p>
        </w:tc>
      </w:tr>
    </w:tbl>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sz w:val="24"/>
          <w:vertAlign w:val="baseline"/>
          <w:lang w:val="en-US" w:eastAsia="zh-CN"/>
        </w:rPr>
      </w:pPr>
      <w:r>
        <w:rPr>
          <w:rFonts w:hint="eastAsia" w:ascii="Times New Roman" w:hAnsi="Times New Roman"/>
          <w:sz w:val="24"/>
          <w:vertAlign w:val="baseline"/>
          <w:lang w:val="en-US" w:eastAsia="zh-CN"/>
        </w:rPr>
        <w:t>读这部分内容是由于最近对于博士生培养过程的结构化（即结构化的培养程序）比较感兴趣，先入为主的观念和立场让我觉得博士生培养就是应该包括课程学习、资格考试、中期考核、预答辩、答辩等环环相扣、条理清晰的培养过程，但是对于为什么这样认为，这种结构化的培养程序的由来及其优缺点却没有深入了解，这让我对自己的观念保持怀疑，觉得立不住脚。</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sz w:val="24"/>
          <w:vertAlign w:val="baseline"/>
          <w:lang w:val="en-US" w:eastAsia="zh-CN"/>
        </w:rPr>
      </w:pPr>
      <w:r>
        <w:rPr>
          <w:rFonts w:hint="eastAsia" w:ascii="Times New Roman" w:hAnsi="Times New Roman"/>
          <w:sz w:val="24"/>
          <w:vertAlign w:val="baseline"/>
          <w:lang w:val="en-US" w:eastAsia="zh-CN"/>
        </w:rPr>
        <w:t>读完书中有关博士生培养模式结构化改革部分，打开视野的同时又增添了很多困惑，这些困惑可能需要查阅更多的书籍和文献才能解决。他这里的博士生培养模式结构化是我所认为的博士生的结构化培养程序的上位概念，让我知道原来整个博士生培养也是一个结构化的模式，而不是仅仅局限于培养过程（培养模式VS培养过程的结构化并不是一个概念，博士生培养过程的结构化进仅仅是博士生培养模式结构的一个部分）。但我对作者所提及的博士生培养模式结构化的认知局限于它是一个</w:t>
      </w:r>
      <w:r>
        <w:rPr>
          <w:rFonts w:hint="eastAsia" w:ascii="Times New Roman" w:hAnsi="Times New Roman" w:eastAsia="宋体"/>
          <w:sz w:val="24"/>
          <w:vertAlign w:val="baseline"/>
          <w:lang w:val="en-US" w:eastAsia="zh-CN"/>
        </w:rPr>
        <w:t>由政策引导、自上而下在全国范围内推进的新阶段。与师徒制博士生培养模式相比，结构化的博士生培养模式减少了对于单一的“学生—导师”二元关系的依赖，用一整套组织框架和制度设计将博士生培养作为一个完整程序从大学的学术活动中独立出来，使之成为一个可以观察、控制、比较和监督的清晰的过程，通过竞争性申请、外部监督、过程控制以及联合指导等措施强化博士培养的绩效，更加规范、制度化和标准化地控制培养质量。</w:t>
      </w:r>
      <w:r>
        <w:rPr>
          <w:rFonts w:hint="eastAsia" w:ascii="Times New Roman" w:hAnsi="Times New Roman"/>
          <w:sz w:val="24"/>
          <w:vertAlign w:val="baseline"/>
          <w:lang w:val="en-US" w:eastAsia="zh-CN"/>
        </w:rPr>
        <w:t>通过查阅已有文献，已有学者认为</w:t>
      </w:r>
      <w:r>
        <w:rPr>
          <w:rFonts w:hint="eastAsia" w:ascii="Times New Roman" w:hAnsi="Times New Roman" w:eastAsia="宋体"/>
          <w:sz w:val="24"/>
          <w:vertAlign w:val="baseline"/>
          <w:lang w:val="en-US" w:eastAsia="zh-CN"/>
        </w:rPr>
        <w:t>研究型博士培养主要有两种不同的传统或模式：一为“欧洲模式”（又称“德国模式”），一为“美国模式。</w:t>
      </w:r>
      <w:r>
        <w:rPr>
          <w:rFonts w:hint="eastAsia" w:ascii="Times New Roman" w:hAnsi="Times New Roman" w:eastAsia="宋体"/>
          <w:sz w:val="24"/>
          <w:vertAlign w:val="superscript"/>
          <w:lang w:val="en-US" w:eastAsia="zh-CN"/>
        </w:rPr>
        <w:footnoteReference w:id="0"/>
      </w:r>
      <w:r>
        <w:rPr>
          <w:rFonts w:hint="eastAsia" w:ascii="Times New Roman" w:hAnsi="Times New Roman" w:eastAsia="宋体"/>
          <w:sz w:val="24"/>
          <w:vertAlign w:val="baseline"/>
          <w:lang w:val="en-US" w:eastAsia="zh-CN"/>
        </w:rPr>
        <w:t>“美国模式”中，博士生在正式提出论文研究问题、研究计划书前须选修大量课程，接受系统的学术训练，了解相关学科和研究方向的理论和方法。“欧洲模式”中，博士生被视为独立的研究者，通过与导师的交流掌握学科方法、学科文化与学科规范，在此基础上完成一篇知识上具有原创性贡献的博士论文，没有正式课程，更遑论系统的培养计划。</w:t>
      </w:r>
      <w:r>
        <w:rPr>
          <w:rFonts w:hint="eastAsia" w:ascii="Times New Roman" w:hAnsi="Times New Roman" w:eastAsia="宋体"/>
          <w:sz w:val="24"/>
          <w:vertAlign w:val="superscript"/>
          <w:lang w:val="en-US" w:eastAsia="zh-CN"/>
        </w:rPr>
        <w:footnoteReference w:id="1"/>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sz w:val="24"/>
          <w:vertAlign w:val="baseline"/>
          <w:lang w:val="en-US" w:eastAsia="zh-CN"/>
        </w:rPr>
      </w:pPr>
      <w:r>
        <w:rPr>
          <w:rFonts w:hint="eastAsia" w:ascii="Times New Roman" w:hAnsi="Times New Roman"/>
          <w:sz w:val="24"/>
          <w:vertAlign w:val="baseline"/>
          <w:lang w:val="en-US" w:eastAsia="zh-CN"/>
        </w:rPr>
        <w:t>我的困惑包括：</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sz w:val="24"/>
          <w:vertAlign w:val="baseline"/>
          <w:lang w:val="en-US" w:eastAsia="zh-CN"/>
        </w:rPr>
      </w:pPr>
      <w:r>
        <w:rPr>
          <w:rFonts w:hint="eastAsia" w:ascii="Times New Roman" w:hAnsi="Times New Roman"/>
          <w:sz w:val="24"/>
          <w:vertAlign w:val="baseline"/>
          <w:lang w:val="en-US" w:eastAsia="zh-CN"/>
        </w:rPr>
        <w:t>“欧洲模式”和“美国模式”的形成逻辑及其文化背景是什么？</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sz w:val="24"/>
          <w:vertAlign w:val="baseline"/>
          <w:lang w:val="en-US" w:eastAsia="zh-CN"/>
        </w:rPr>
      </w:pPr>
      <w:r>
        <w:rPr>
          <w:rFonts w:hint="eastAsia" w:ascii="Times New Roman" w:hAnsi="Times New Roman"/>
          <w:sz w:val="24"/>
          <w:vertAlign w:val="baseline"/>
          <w:lang w:val="en-US" w:eastAsia="zh-CN"/>
        </w:rPr>
        <w:t>“欧洲模式”和“美国模式”两种模式是平行发展，还是继承与替代</w:t>
      </w:r>
      <w:bookmarkStart w:id="0" w:name="_GoBack"/>
      <w:bookmarkEnd w:id="0"/>
      <w:r>
        <w:rPr>
          <w:rFonts w:hint="eastAsia" w:ascii="Times New Roman" w:hAnsi="Times New Roman"/>
          <w:sz w:val="24"/>
          <w:vertAlign w:val="baseline"/>
          <w:lang w:val="en-US" w:eastAsia="zh-CN"/>
        </w:rPr>
        <w:t>的关系？</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sz w:val="24"/>
          <w:vertAlign w:val="baseline"/>
          <w:lang w:val="en-US" w:eastAsia="zh-CN"/>
        </w:rPr>
      </w:pPr>
      <w:r>
        <w:rPr>
          <w:rFonts w:hint="eastAsia" w:ascii="Times New Roman" w:hAnsi="Times New Roman"/>
          <w:sz w:val="24"/>
          <w:vertAlign w:val="baseline"/>
          <w:lang w:val="en-US" w:eastAsia="zh-CN"/>
        </w:rPr>
        <w:t>对“欧洲模式”和“美国模式”两种模式的具体比较缺乏清晰的梳理。“欧洲模式”就是过时的吗？为什么欧洲中世纪偏偏形成了师徒制的培养模式？这其中的时代背景是什么？“美国模式”有哪些弊端？</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default" w:ascii="Times New Roman" w:hAnsi="Times New Roman"/>
          <w:sz w:val="24"/>
          <w:vertAlign w:val="baseline"/>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default" w:ascii="Times New Roman" w:hAnsi="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2"/>
        <w:keepNext w:val="0"/>
        <w:keepLines w:val="0"/>
        <w:pageBreakBefore w:val="0"/>
        <w:widowControl w:val="0"/>
        <w:kinsoku/>
        <w:wordWrap w:val="0"/>
        <w:overflowPunct/>
        <w:topLinePunct w:val="0"/>
        <w:autoSpaceDE/>
        <w:autoSpaceDN/>
        <w:bidi w:val="0"/>
        <w:adjustRightInd/>
        <w:snapToGrid w:val="0"/>
        <w:jc w:val="both"/>
        <w:textAlignment w:val="auto"/>
        <w:rPr>
          <w:rFonts w:ascii="Times New Roman" w:hAnsi="Times New Roman"/>
          <w:sz w:val="18"/>
        </w:rPr>
      </w:pPr>
      <w:r>
        <w:rPr>
          <w:rStyle w:val="6"/>
          <w:rFonts w:ascii="Times New Roman" w:hAnsi="Times New Roman"/>
          <w:sz w:val="18"/>
        </w:rPr>
        <w:footnoteRef/>
      </w:r>
      <w:r>
        <w:rPr>
          <w:rFonts w:ascii="Times New Roman" w:hAnsi="Times New Roman"/>
          <w:sz w:val="18"/>
        </w:rPr>
        <w:t xml:space="preserve"> </w:t>
      </w:r>
      <w:r>
        <w:rPr>
          <w:rFonts w:hint="eastAsia" w:ascii="Times New Roman" w:hAnsi="Times New Roman"/>
          <w:sz w:val="18"/>
        </w:rPr>
        <w:t>王东芳.美国博士生培养的理念与制度[J].高等教育研究,2013,34(09):54-60.</w:t>
      </w:r>
    </w:p>
  </w:footnote>
  <w:footnote w:id="1">
    <w:p>
      <w:pPr>
        <w:pStyle w:val="2"/>
        <w:keepNext w:val="0"/>
        <w:keepLines w:val="0"/>
        <w:pageBreakBefore w:val="0"/>
        <w:widowControl w:val="0"/>
        <w:kinsoku/>
        <w:wordWrap w:val="0"/>
        <w:overflowPunct/>
        <w:topLinePunct w:val="0"/>
        <w:autoSpaceDE/>
        <w:autoSpaceDN/>
        <w:bidi w:val="0"/>
        <w:adjustRightInd/>
        <w:snapToGrid w:val="0"/>
        <w:jc w:val="both"/>
        <w:textAlignment w:val="auto"/>
        <w:rPr>
          <w:rFonts w:ascii="Times New Roman" w:hAnsi="Times New Roman"/>
          <w:sz w:val="18"/>
        </w:rPr>
      </w:pPr>
      <w:r>
        <w:rPr>
          <w:rStyle w:val="6"/>
          <w:rFonts w:ascii="Times New Roman" w:hAnsi="Times New Roman"/>
          <w:sz w:val="18"/>
        </w:rPr>
        <w:footnoteRef/>
      </w:r>
      <w:r>
        <w:rPr>
          <w:rFonts w:hint="eastAsia" w:ascii="Times New Roman" w:hAnsi="Times New Roman"/>
          <w:sz w:val="18"/>
          <w:lang w:val="en-US" w:eastAsia="zh-CN"/>
        </w:rPr>
        <w:t xml:space="preserve"> </w:t>
      </w:r>
      <w:r>
        <w:rPr>
          <w:rFonts w:hint="eastAsia" w:ascii="Times New Roman" w:hAnsi="Times New Roman"/>
          <w:sz w:val="18"/>
        </w:rPr>
        <w:t>沈文钦,王东芳.从欧洲模式到美国模式:欧洲博士生培养模式改革的趋势[J].外国教育研究,2010,37(08):69-74.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C3DFB"/>
    <w:multiLevelType w:val="singleLevel"/>
    <w:tmpl w:val="BA1C3DFB"/>
    <w:lvl w:ilvl="0" w:tentative="0">
      <w:start w:val="1"/>
      <w:numFmt w:val="chineseCounting"/>
      <w:suff w:val="nothing"/>
      <w:lvlText w:val="（%1）"/>
      <w:lvlJc w:val="left"/>
      <w:rPr>
        <w:rFonts w:hint="eastAsia"/>
      </w:rPr>
    </w:lvl>
  </w:abstractNum>
  <w:abstractNum w:abstractNumId="1">
    <w:nsid w:val="C1B64893"/>
    <w:multiLevelType w:val="singleLevel"/>
    <w:tmpl w:val="C1B64893"/>
    <w:lvl w:ilvl="0" w:tentative="0">
      <w:start w:val="1"/>
      <w:numFmt w:val="decimal"/>
      <w:suff w:val="nothing"/>
      <w:lvlText w:val="（%1）"/>
      <w:lvlJc w:val="left"/>
    </w:lvl>
  </w:abstractNum>
  <w:abstractNum w:abstractNumId="2">
    <w:nsid w:val="19A2C3FE"/>
    <w:multiLevelType w:val="singleLevel"/>
    <w:tmpl w:val="19A2C3FE"/>
    <w:lvl w:ilvl="0" w:tentative="0">
      <w:start w:val="1"/>
      <w:numFmt w:val="chineseCounting"/>
      <w:suff w:val="nothing"/>
      <w:lvlText w:val="%1、"/>
      <w:lvlJc w:val="left"/>
      <w:rPr>
        <w:rFonts w:hint="eastAsia"/>
      </w:rPr>
    </w:lvl>
  </w:abstractNum>
  <w:abstractNum w:abstractNumId="3">
    <w:nsid w:val="34188F2F"/>
    <w:multiLevelType w:val="singleLevel"/>
    <w:tmpl w:val="34188F2F"/>
    <w:lvl w:ilvl="0" w:tentative="0">
      <w:start w:val="1"/>
      <w:numFmt w:val="chineseCounting"/>
      <w:suff w:val="nothing"/>
      <w:lvlText w:val="（%1）"/>
      <w:lvlJc w:val="left"/>
      <w:rPr>
        <w:rFonts w:hint="eastAsia"/>
      </w:rPr>
    </w:lvl>
  </w:abstractNum>
  <w:abstractNum w:abstractNumId="4">
    <w:nsid w:val="4F11FC0D"/>
    <w:multiLevelType w:val="singleLevel"/>
    <w:tmpl w:val="4F11FC0D"/>
    <w:lvl w:ilvl="0" w:tentative="0">
      <w:start w:val="1"/>
      <w:numFmt w:val="chineseCounting"/>
      <w:suff w:val="nothing"/>
      <w:lvlText w:val="（%1）"/>
      <w:lvlJc w:val="left"/>
      <w:rPr>
        <w:rFonts w:hint="eastAsia"/>
      </w:rPr>
    </w:lvl>
  </w:abstractNum>
  <w:abstractNum w:abstractNumId="5">
    <w:nsid w:val="770AA206"/>
    <w:multiLevelType w:val="singleLevel"/>
    <w:tmpl w:val="770AA206"/>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0076E"/>
    <w:rsid w:val="0CC8339C"/>
    <w:rsid w:val="0CEB4785"/>
    <w:rsid w:val="0DAA391B"/>
    <w:rsid w:val="0E245572"/>
    <w:rsid w:val="0FEC539C"/>
    <w:rsid w:val="2BC075E6"/>
    <w:rsid w:val="316D12F7"/>
    <w:rsid w:val="33CE7FA7"/>
    <w:rsid w:val="397005F9"/>
    <w:rsid w:val="3F286B95"/>
    <w:rsid w:val="417264B5"/>
    <w:rsid w:val="41F92879"/>
    <w:rsid w:val="42F32FEB"/>
    <w:rsid w:val="43573A5F"/>
    <w:rsid w:val="45AB0F0D"/>
    <w:rsid w:val="493E2E84"/>
    <w:rsid w:val="4BEB6499"/>
    <w:rsid w:val="62843222"/>
    <w:rsid w:val="653A7E1D"/>
    <w:rsid w:val="6F846988"/>
    <w:rsid w:val="713A1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uiPriority w:val="0"/>
    <w:pPr>
      <w:snapToGrid w:val="0"/>
      <w:jc w:val="left"/>
    </w:pPr>
    <w:rPr>
      <w:sz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1777</Words>
  <Characters>1790</Characters>
  <Lines>0</Lines>
  <Paragraphs>0</Paragraphs>
  <TotalTime>4</TotalTime>
  <ScaleCrop>false</ScaleCrop>
  <LinksUpToDate>false</LinksUpToDate>
  <CharactersWithSpaces>1791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2021-05-07T02:16:00Z</dcterms:created>
  <dc:creator>Administrator</dc:creator>
  <cp:lastModifiedBy>师悦</cp:lastModifiedBy>
  <dcterms:modified xsi:type="dcterms:W3CDTF">2021-05-30T16:38:28Z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94EC1E7541A74CE5A980E4CB962AC55D</vt:lpwstr>
  </property>
</Properties>
</file>