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1AD" w:rsidRPr="00EC4710" w:rsidRDefault="00EC4710" w:rsidP="00EC4710">
      <w:pPr>
        <w:jc w:val="center"/>
        <w:rPr>
          <w:sz w:val="40"/>
        </w:rPr>
      </w:pPr>
      <w:r w:rsidRPr="00EC4710">
        <w:rPr>
          <w:rFonts w:hint="eastAsia"/>
          <w:sz w:val="40"/>
        </w:rPr>
        <w:t>《高等教育哲学》读书报告</w:t>
      </w:r>
    </w:p>
    <w:p w:rsidR="00EC4710" w:rsidRDefault="00EC4710" w:rsidP="00EC4710">
      <w:pPr>
        <w:jc w:val="center"/>
        <w:rPr>
          <w:sz w:val="24"/>
        </w:rPr>
      </w:pPr>
      <w:r w:rsidRPr="00EC4710">
        <w:rPr>
          <w:rFonts w:hint="eastAsia"/>
          <w:sz w:val="24"/>
        </w:rPr>
        <w:t>尚潇潇</w:t>
      </w:r>
      <w:r w:rsidRPr="00EC4710">
        <w:rPr>
          <w:rFonts w:hint="eastAsia"/>
          <w:sz w:val="24"/>
        </w:rPr>
        <w:t xml:space="preserve"> MF20120013 20</w:t>
      </w:r>
      <w:r w:rsidRPr="00EC4710">
        <w:rPr>
          <w:rFonts w:hint="eastAsia"/>
          <w:sz w:val="24"/>
        </w:rPr>
        <w:t>级教育（学科英语）</w:t>
      </w:r>
    </w:p>
    <w:p w:rsidR="00D53CED" w:rsidRDefault="003F5949" w:rsidP="00635CFA">
      <w:pPr>
        <w:autoSpaceDE w:val="0"/>
        <w:autoSpaceDN w:val="0"/>
        <w:adjustRightInd w:val="0"/>
        <w:ind w:firstLineChars="200" w:firstLine="480"/>
        <w:jc w:val="left"/>
        <w:rPr>
          <w:sz w:val="24"/>
        </w:rPr>
      </w:pPr>
      <w:r>
        <w:rPr>
          <w:rFonts w:hint="eastAsia"/>
          <w:sz w:val="24"/>
        </w:rPr>
        <w:t>本书短小精悍，虽只有</w:t>
      </w:r>
      <w:r>
        <w:rPr>
          <w:rFonts w:hint="eastAsia"/>
          <w:sz w:val="24"/>
        </w:rPr>
        <w:t>200</w:t>
      </w:r>
      <w:r>
        <w:rPr>
          <w:rFonts w:hint="eastAsia"/>
          <w:sz w:val="24"/>
        </w:rPr>
        <w:t>多页，但内容丰富。</w:t>
      </w:r>
      <w:r w:rsidRPr="003F5949">
        <w:rPr>
          <w:rFonts w:hint="eastAsia"/>
          <w:sz w:val="24"/>
        </w:rPr>
        <w:t>《高等教育哲学》是美国著名学者布鲁贝克在</w:t>
      </w:r>
      <w:r w:rsidR="00D53CED">
        <w:rPr>
          <w:rFonts w:hint="eastAsia"/>
          <w:sz w:val="24"/>
        </w:rPr>
        <w:t>20</w:t>
      </w:r>
      <w:r w:rsidRPr="003F5949">
        <w:rPr>
          <w:rFonts w:hint="eastAsia"/>
          <w:sz w:val="24"/>
        </w:rPr>
        <w:t>世纪</w:t>
      </w:r>
      <w:r w:rsidR="00D53CED">
        <w:rPr>
          <w:rFonts w:hint="eastAsia"/>
          <w:sz w:val="24"/>
        </w:rPr>
        <w:t>70</w:t>
      </w:r>
      <w:r w:rsidRPr="003F5949">
        <w:rPr>
          <w:rFonts w:hint="eastAsia"/>
          <w:sz w:val="24"/>
        </w:rPr>
        <w:t>年代出版的一部高等教育学经典著作，当时的美国高等教育已经度过了二战后的“黄金时代”，进入了“艰难时期”。从表面上来看，由于越南战争、人权运动等事件接连爆发，美国的学术界也受到了影响，书中用莎士比亚的话来描述这段时期，称其为学术界“大为不满的冬天”。学生们先于教授开始怀疑高等教育的可靠性，甚至进而开始怀疑在法律上高等教育是否有必要存在，出现了高等教育的“本体危机”</w:t>
      </w:r>
      <w:r w:rsidR="00D53CED">
        <w:rPr>
          <w:sz w:val="24"/>
        </w:rPr>
        <w:fldChar w:fldCharType="begin"/>
      </w:r>
      <w:r w:rsidR="00D53CED">
        <w:rPr>
          <w:sz w:val="24"/>
        </w:rPr>
        <w:instrText xml:space="preserve"> ADDIN NE.Ref.{49639F73-C003-4F63-AC28-4E48593223F4}</w:instrText>
      </w:r>
      <w:r w:rsidR="00D53CED">
        <w:rPr>
          <w:sz w:val="24"/>
        </w:rPr>
        <w:fldChar w:fldCharType="separate"/>
      </w:r>
      <w:r w:rsidR="000F5EFE">
        <w:rPr>
          <w:rFonts w:ascii="Calibri" w:hAnsi="Calibri" w:cs="Calibri"/>
          <w:color w:val="080000"/>
          <w:kern w:val="0"/>
          <w:sz w:val="24"/>
          <w:szCs w:val="24"/>
        </w:rPr>
        <w:t>[1]</w:t>
      </w:r>
      <w:r w:rsidR="00D53CED">
        <w:rPr>
          <w:sz w:val="24"/>
        </w:rPr>
        <w:fldChar w:fldCharType="end"/>
      </w:r>
      <w:r w:rsidRPr="003F5949">
        <w:rPr>
          <w:rFonts w:hint="eastAsia"/>
          <w:sz w:val="24"/>
        </w:rPr>
        <w:t>。</w:t>
      </w:r>
    </w:p>
    <w:p w:rsidR="00D53CED" w:rsidRPr="00E20D19" w:rsidRDefault="005B1803" w:rsidP="003E7D80">
      <w:pPr>
        <w:autoSpaceDE w:val="0"/>
        <w:autoSpaceDN w:val="0"/>
        <w:adjustRightInd w:val="0"/>
        <w:ind w:firstLineChars="200" w:firstLine="480"/>
        <w:jc w:val="left"/>
        <w:rPr>
          <w:sz w:val="24"/>
        </w:rPr>
      </w:pPr>
      <w:r>
        <w:rPr>
          <w:sz w:val="24"/>
        </w:rPr>
        <w:t>高等教育研究高深的学问</w:t>
      </w:r>
      <w:r>
        <w:rPr>
          <w:rFonts w:hint="eastAsia"/>
          <w:sz w:val="24"/>
        </w:rPr>
        <w:t>，</w:t>
      </w:r>
      <w:r w:rsidR="00090CB3">
        <w:rPr>
          <w:rFonts w:hint="eastAsia"/>
          <w:sz w:val="24"/>
        </w:rPr>
        <w:t>“高深学问”是高等教育的本质特性，也是高等教育区别于初等、中等类教育的主要依据。</w:t>
      </w:r>
      <w:r w:rsidR="003E7D80">
        <w:rPr>
          <w:rFonts w:hint="eastAsia"/>
          <w:sz w:val="24"/>
        </w:rPr>
        <w:t>保持高深学问“高深”的条件就是</w:t>
      </w:r>
      <w:r w:rsidR="004E15DF">
        <w:rPr>
          <w:rFonts w:hint="eastAsia"/>
          <w:sz w:val="24"/>
        </w:rPr>
        <w:t>使学术研究得到尽可能大的自治</w:t>
      </w:r>
      <w:r w:rsidR="005C27AB">
        <w:rPr>
          <w:rFonts w:hint="eastAsia"/>
          <w:sz w:val="24"/>
        </w:rPr>
        <w:t>，我认为目前我国高校中各学院能达到较大程度的学术自治，故同一学校内各学院间的规章制度有较大差别，这样能更好地激发师生的创新能力和改革意识。</w:t>
      </w:r>
      <w:r w:rsidR="009A19C6">
        <w:rPr>
          <w:rFonts w:hint="eastAsia"/>
          <w:sz w:val="24"/>
        </w:rPr>
        <w:t>当今大学中还存在的一个问题是高深学问和低级学问难以划分界限，高等教育逐渐由精英教育过渡到大众教育且一再强调学生培养应与实习实践密切结合，使得高等教育的学术性逐渐减弱，学术自治也受到了相应的限制。</w:t>
      </w:r>
    </w:p>
    <w:p w:rsidR="00D53CED" w:rsidRDefault="009A19C6" w:rsidP="00EC1DEE">
      <w:pPr>
        <w:autoSpaceDE w:val="0"/>
        <w:autoSpaceDN w:val="0"/>
        <w:adjustRightInd w:val="0"/>
        <w:ind w:firstLineChars="200" w:firstLine="480"/>
        <w:jc w:val="left"/>
        <w:rPr>
          <w:sz w:val="24"/>
        </w:rPr>
      </w:pPr>
      <w:r>
        <w:rPr>
          <w:sz w:val="24"/>
        </w:rPr>
        <w:t>关于高等教育为谁服务的问题</w:t>
      </w:r>
      <w:r>
        <w:rPr>
          <w:rFonts w:hint="eastAsia"/>
          <w:sz w:val="24"/>
        </w:rPr>
        <w:t>，</w:t>
      </w:r>
      <w:proofErr w:type="gramStart"/>
      <w:r w:rsidRPr="009A19C6">
        <w:rPr>
          <w:rFonts w:hint="eastAsia"/>
          <w:sz w:val="24"/>
        </w:rPr>
        <w:t>卢</w:t>
      </w:r>
      <w:proofErr w:type="gramEnd"/>
      <w:r w:rsidRPr="009A19C6">
        <w:rPr>
          <w:rFonts w:hint="eastAsia"/>
          <w:sz w:val="24"/>
        </w:rPr>
        <w:t>梭曾经认为：“人之所以不平等，是因为他们所受</w:t>
      </w:r>
      <w:r>
        <w:rPr>
          <w:rFonts w:hint="eastAsia"/>
          <w:sz w:val="24"/>
        </w:rPr>
        <w:t>教育不同的缘故</w:t>
      </w:r>
      <w:r w:rsidRPr="009A19C6">
        <w:rPr>
          <w:rFonts w:hint="eastAsia"/>
          <w:sz w:val="24"/>
        </w:rPr>
        <w:t>”</w:t>
      </w:r>
      <w:r>
        <w:rPr>
          <w:rFonts w:hint="eastAsia"/>
          <w:sz w:val="24"/>
        </w:rPr>
        <w:t>，</w:t>
      </w:r>
      <w:r w:rsidR="00EC1DEE">
        <w:rPr>
          <w:rFonts w:hint="eastAsia"/>
          <w:sz w:val="24"/>
        </w:rPr>
        <w:t>所以政府要尽可能地让更多人获得接受高等教育的机会，制定了针对弱势群体的各种高考加分政策。</w:t>
      </w:r>
      <w:r w:rsidRPr="009A19C6">
        <w:rPr>
          <w:rFonts w:hint="eastAsia"/>
          <w:sz w:val="24"/>
        </w:rPr>
        <w:t>潘懋元先生认为：</w:t>
      </w:r>
      <w:r>
        <w:rPr>
          <w:rFonts w:hint="eastAsia"/>
          <w:sz w:val="24"/>
        </w:rPr>
        <w:t>“</w:t>
      </w:r>
      <w:r w:rsidR="00EC1DEE">
        <w:rPr>
          <w:rFonts w:hint="eastAsia"/>
          <w:sz w:val="24"/>
        </w:rPr>
        <w:t>精英教育和大众教育</w:t>
      </w:r>
      <w:r w:rsidRPr="009A19C6">
        <w:rPr>
          <w:rFonts w:hint="eastAsia"/>
          <w:sz w:val="24"/>
        </w:rPr>
        <w:t>这两个体系是并存的、不可互相替代的，但也不是互相矛盾的</w:t>
      </w:r>
      <w:r w:rsidR="00EC1DEE">
        <w:rPr>
          <w:sz w:val="24"/>
        </w:rPr>
        <w:fldChar w:fldCharType="begin"/>
      </w:r>
      <w:r w:rsidR="00EC1DEE">
        <w:rPr>
          <w:sz w:val="24"/>
        </w:rPr>
        <w:instrText xml:space="preserve"> ADDIN NE.Ref.{F54902AD-D74C-47A6-AD3A-D0A79889741F}</w:instrText>
      </w:r>
      <w:r w:rsidR="00EC1DEE">
        <w:rPr>
          <w:sz w:val="24"/>
        </w:rPr>
        <w:fldChar w:fldCharType="separate"/>
      </w:r>
      <w:r w:rsidR="000F5EFE">
        <w:rPr>
          <w:rFonts w:ascii="Calibri" w:hAnsi="Calibri" w:cs="Calibri"/>
          <w:color w:val="080000"/>
          <w:kern w:val="0"/>
          <w:sz w:val="24"/>
          <w:szCs w:val="24"/>
        </w:rPr>
        <w:t>[2]</w:t>
      </w:r>
      <w:r w:rsidR="00EC1DEE">
        <w:rPr>
          <w:sz w:val="24"/>
        </w:rPr>
        <w:fldChar w:fldCharType="end"/>
      </w:r>
      <w:r>
        <w:rPr>
          <w:rFonts w:hint="eastAsia"/>
          <w:sz w:val="24"/>
        </w:rPr>
        <w:t>”</w:t>
      </w:r>
      <w:r w:rsidR="00000EB3">
        <w:rPr>
          <w:rFonts w:hint="eastAsia"/>
          <w:sz w:val="24"/>
        </w:rPr>
        <w:t>，在我国</w:t>
      </w:r>
      <w:r w:rsidR="000F5EFE">
        <w:rPr>
          <w:rFonts w:hint="eastAsia"/>
          <w:sz w:val="24"/>
        </w:rPr>
        <w:t>，</w:t>
      </w:r>
      <w:r w:rsidR="000F5EFE" w:rsidRPr="000F5EFE">
        <w:rPr>
          <w:rFonts w:hint="eastAsia"/>
          <w:sz w:val="24"/>
        </w:rPr>
        <w:t>精英教育对应的就是研究型大学，这类大学对学生的要求是掌握高深学问，理论基础知识雄厚，为后续的进一步深造作好铺垫；大众教育对应的是普通的应用型大学，这类大学以培养实用性的技术人才为己任，满足社会和市场对人才的需求，这二者并不矛盾</w:t>
      </w:r>
      <w:r w:rsidR="000F5EFE">
        <w:rPr>
          <w:sz w:val="24"/>
        </w:rPr>
        <w:fldChar w:fldCharType="begin"/>
      </w:r>
      <w:r w:rsidR="000F5EFE">
        <w:rPr>
          <w:sz w:val="24"/>
        </w:rPr>
        <w:instrText xml:space="preserve"> ADDIN NE.Ref.{C848EF7A-0F1C-4DF6-A714-DFCB685EFBB3}</w:instrText>
      </w:r>
      <w:r w:rsidR="000F5EFE">
        <w:rPr>
          <w:sz w:val="24"/>
        </w:rPr>
        <w:fldChar w:fldCharType="separate"/>
      </w:r>
      <w:r w:rsidR="000F5EFE">
        <w:rPr>
          <w:rFonts w:ascii="Calibri" w:hAnsi="Calibri" w:cs="Calibri"/>
          <w:color w:val="080000"/>
          <w:kern w:val="0"/>
          <w:sz w:val="24"/>
          <w:szCs w:val="24"/>
        </w:rPr>
        <w:t>[1]</w:t>
      </w:r>
      <w:r w:rsidR="000F5EFE">
        <w:rPr>
          <w:sz w:val="24"/>
        </w:rPr>
        <w:fldChar w:fldCharType="end"/>
      </w:r>
      <w:r w:rsidR="000F5EFE" w:rsidRPr="000F5EFE">
        <w:rPr>
          <w:rFonts w:hint="eastAsia"/>
          <w:sz w:val="24"/>
        </w:rPr>
        <w:t>。</w:t>
      </w:r>
      <w:r w:rsidR="000F5EFE">
        <w:rPr>
          <w:rFonts w:hint="eastAsia"/>
          <w:sz w:val="24"/>
        </w:rPr>
        <w:t>我认为学生们在本科、硕士、博士均有进入精英教育的机会，这也很好地使高等教育普及化，给予青年更多的发展可能。</w:t>
      </w:r>
    </w:p>
    <w:p w:rsidR="00D53CED" w:rsidRDefault="000F5EFE" w:rsidP="000F5EFE">
      <w:pPr>
        <w:autoSpaceDE w:val="0"/>
        <w:autoSpaceDN w:val="0"/>
        <w:adjustRightInd w:val="0"/>
        <w:ind w:firstLineChars="200" w:firstLine="480"/>
        <w:jc w:val="left"/>
        <w:rPr>
          <w:sz w:val="24"/>
        </w:rPr>
      </w:pPr>
      <w:r>
        <w:rPr>
          <w:sz w:val="24"/>
        </w:rPr>
        <w:t>总体说来</w:t>
      </w:r>
      <w:r>
        <w:rPr>
          <w:rFonts w:hint="eastAsia"/>
          <w:sz w:val="24"/>
        </w:rPr>
        <w:t>，</w:t>
      </w:r>
      <w:r>
        <w:rPr>
          <w:sz w:val="24"/>
        </w:rPr>
        <w:t>这本书</w:t>
      </w:r>
      <w:r>
        <w:rPr>
          <w:rFonts w:hint="eastAsia"/>
          <w:sz w:val="24"/>
        </w:rPr>
        <w:t>内涵丰富，</w:t>
      </w:r>
      <w:r>
        <w:rPr>
          <w:sz w:val="24"/>
        </w:rPr>
        <w:t>值得反复阅读</w:t>
      </w:r>
      <w:r>
        <w:rPr>
          <w:rFonts w:hint="eastAsia"/>
          <w:sz w:val="24"/>
        </w:rPr>
        <w:t>，</w:t>
      </w:r>
      <w:r>
        <w:rPr>
          <w:sz w:val="24"/>
        </w:rPr>
        <w:t>故其学术影响力一直持续至今</w:t>
      </w:r>
      <w:r>
        <w:rPr>
          <w:rFonts w:hint="eastAsia"/>
          <w:sz w:val="24"/>
        </w:rPr>
        <w:t>。</w:t>
      </w:r>
    </w:p>
    <w:p w:rsidR="00D53CED" w:rsidRDefault="00D53CED" w:rsidP="00D53CED">
      <w:pPr>
        <w:autoSpaceDE w:val="0"/>
        <w:autoSpaceDN w:val="0"/>
        <w:adjustRightInd w:val="0"/>
        <w:jc w:val="left"/>
        <w:rPr>
          <w:sz w:val="24"/>
        </w:rPr>
      </w:pPr>
    </w:p>
    <w:p w:rsidR="00D53CED" w:rsidRDefault="00D53CED" w:rsidP="00D53CED">
      <w:pPr>
        <w:autoSpaceDE w:val="0"/>
        <w:autoSpaceDN w:val="0"/>
        <w:adjustRightInd w:val="0"/>
        <w:jc w:val="left"/>
        <w:rPr>
          <w:sz w:val="24"/>
        </w:rPr>
      </w:pPr>
    </w:p>
    <w:p w:rsidR="000F5EFE" w:rsidRDefault="00D53CED" w:rsidP="000F5EFE">
      <w:pPr>
        <w:autoSpaceDE w:val="0"/>
        <w:autoSpaceDN w:val="0"/>
        <w:adjustRightInd w:val="0"/>
        <w:jc w:val="left"/>
        <w:rPr>
          <w:rFonts w:ascii="Times New Roman" w:hAnsi="Times New Roman" w:cs="Times New Roman"/>
          <w:kern w:val="0"/>
          <w:sz w:val="24"/>
          <w:szCs w:val="24"/>
        </w:rPr>
      </w:pPr>
      <w:r>
        <w:rPr>
          <w:sz w:val="24"/>
        </w:rPr>
        <w:fldChar w:fldCharType="begin"/>
      </w:r>
      <w:r>
        <w:rPr>
          <w:sz w:val="24"/>
        </w:rPr>
        <w:instrText xml:space="preserve"> ADDIN NE.Bib</w:instrText>
      </w:r>
      <w:r>
        <w:rPr>
          <w:sz w:val="24"/>
        </w:rPr>
        <w:fldChar w:fldCharType="separate"/>
      </w:r>
    </w:p>
    <w:p w:rsidR="000F5EFE" w:rsidRDefault="000F5EFE" w:rsidP="000F5EFE">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b/>
          <w:bCs/>
          <w:color w:val="000000"/>
          <w:kern w:val="0"/>
          <w:sz w:val="40"/>
          <w:szCs w:val="40"/>
        </w:rPr>
        <w:t>References:</w:t>
      </w:r>
    </w:p>
    <w:p w:rsidR="000F5EFE" w:rsidRDefault="000F5EFE" w:rsidP="000F5EFE">
      <w:pPr>
        <w:autoSpaceDE w:val="0"/>
        <w:autoSpaceDN w:val="0"/>
        <w:adjustRightInd w:val="0"/>
        <w:rPr>
          <w:rFonts w:ascii="Times New Roman" w:hAnsi="Times New Roman" w:cs="Times New Roman"/>
          <w:kern w:val="0"/>
          <w:sz w:val="24"/>
          <w:szCs w:val="24"/>
        </w:rPr>
      </w:pPr>
      <w:r>
        <w:rPr>
          <w:rFonts w:ascii="Times New Roman" w:hAnsi="Times New Roman" w:cs="Times New Roman"/>
          <w:color w:val="000000"/>
          <w:kern w:val="0"/>
          <w:sz w:val="20"/>
          <w:szCs w:val="20"/>
        </w:rPr>
        <w:t>[1].</w:t>
      </w:r>
      <w:r>
        <w:rPr>
          <w:rFonts w:ascii="Times New Roman" w:hAnsi="Times New Roman" w:cs="Times New Roman"/>
          <w:color w:val="000000"/>
          <w:kern w:val="0"/>
          <w:sz w:val="20"/>
          <w:szCs w:val="20"/>
        </w:rPr>
        <w:tab/>
      </w:r>
      <w:bookmarkStart w:id="0" w:name="_nebF877980D_3BD0_4F8D_BD95_66C369C97B4F"/>
      <w:r>
        <w:rPr>
          <w:rFonts w:ascii="宋体" w:eastAsia="宋体" w:hAnsi="Times New Roman" w:cs="宋体" w:hint="eastAsia"/>
          <w:color w:val="000000"/>
          <w:kern w:val="0"/>
          <w:sz w:val="20"/>
          <w:szCs w:val="20"/>
        </w:rPr>
        <w:t>胡譞</w:t>
      </w:r>
      <w:r>
        <w:rPr>
          <w:rFonts w:ascii="Times New Roman" w:hAnsi="Times New Roman" w:cs="Times New Roman"/>
          <w:color w:val="000000"/>
          <w:kern w:val="0"/>
          <w:sz w:val="20"/>
          <w:szCs w:val="20"/>
        </w:rPr>
        <w:t xml:space="preserve">, </w:t>
      </w:r>
      <w:r>
        <w:rPr>
          <w:rFonts w:ascii="宋体" w:eastAsia="宋体" w:hAnsi="Times New Roman" w:cs="宋体" w:hint="eastAsia"/>
          <w:color w:val="000000"/>
          <w:kern w:val="0"/>
          <w:sz w:val="20"/>
          <w:szCs w:val="20"/>
        </w:rPr>
        <w:t>权利还是特权</w:t>
      </w:r>
      <w:proofErr w:type="gramStart"/>
      <w:r>
        <w:rPr>
          <w:rFonts w:ascii="Times New Roman" w:hAnsi="Times New Roman" w:cs="Times New Roman"/>
          <w:color w:val="000000"/>
          <w:kern w:val="0"/>
          <w:sz w:val="20"/>
          <w:szCs w:val="20"/>
        </w:rPr>
        <w:t>:</w:t>
      </w:r>
      <w:r>
        <w:rPr>
          <w:rFonts w:ascii="宋体" w:eastAsia="宋体" w:hAnsi="Times New Roman" w:cs="宋体" w:hint="eastAsia"/>
          <w:color w:val="000000"/>
          <w:kern w:val="0"/>
          <w:sz w:val="20"/>
          <w:szCs w:val="20"/>
        </w:rPr>
        <w:t>高等教育为谁服务</w:t>
      </w:r>
      <w:proofErr w:type="gramEnd"/>
      <w:r>
        <w:rPr>
          <w:rFonts w:ascii="宋体" w:eastAsia="宋体" w:hAnsi="Times New Roman" w:cs="宋体" w:hint="eastAsia"/>
          <w:color w:val="000000"/>
          <w:kern w:val="0"/>
          <w:sz w:val="20"/>
          <w:szCs w:val="20"/>
        </w:rPr>
        <w:t>——基于布鲁贝克《高等教育哲学》的思考</w:t>
      </w:r>
      <w:r>
        <w:rPr>
          <w:rFonts w:ascii="Times New Roman" w:hAnsi="Times New Roman" w:cs="Times New Roman"/>
          <w:color w:val="000000"/>
          <w:kern w:val="0"/>
          <w:sz w:val="20"/>
          <w:szCs w:val="20"/>
        </w:rPr>
        <w:t xml:space="preserve">. </w:t>
      </w:r>
      <w:r>
        <w:rPr>
          <w:rFonts w:ascii="宋体" w:eastAsia="宋体" w:hAnsi="Times New Roman" w:cs="宋体" w:hint="eastAsia"/>
          <w:color w:val="000000"/>
          <w:kern w:val="0"/>
          <w:sz w:val="20"/>
          <w:szCs w:val="20"/>
        </w:rPr>
        <w:t>现代交际</w:t>
      </w:r>
      <w:r>
        <w:rPr>
          <w:rFonts w:ascii="Times New Roman" w:hAnsi="Times New Roman" w:cs="Times New Roman"/>
          <w:color w:val="000000"/>
          <w:kern w:val="0"/>
          <w:sz w:val="20"/>
          <w:szCs w:val="20"/>
        </w:rPr>
        <w:t xml:space="preserve">, 2020(11): </w:t>
      </w:r>
      <w:r>
        <w:rPr>
          <w:rFonts w:ascii="宋体" w:eastAsia="宋体" w:hAnsi="Times New Roman" w:cs="宋体" w:hint="eastAsia"/>
          <w:color w:val="000000"/>
          <w:kern w:val="0"/>
          <w:sz w:val="20"/>
          <w:szCs w:val="20"/>
        </w:rPr>
        <w:t>第</w:t>
      </w:r>
      <w:r>
        <w:rPr>
          <w:rFonts w:ascii="Times New Roman" w:hAnsi="Times New Roman" w:cs="Times New Roman"/>
          <w:color w:val="000000"/>
          <w:kern w:val="0"/>
          <w:sz w:val="20"/>
          <w:szCs w:val="20"/>
        </w:rPr>
        <w:t>205-206</w:t>
      </w:r>
      <w:r>
        <w:rPr>
          <w:rFonts w:ascii="宋体" w:eastAsia="宋体" w:hAnsi="Times New Roman" w:cs="宋体" w:hint="eastAsia"/>
          <w:color w:val="000000"/>
          <w:kern w:val="0"/>
          <w:sz w:val="20"/>
          <w:szCs w:val="20"/>
        </w:rPr>
        <w:t>页</w:t>
      </w:r>
      <w:r>
        <w:rPr>
          <w:rFonts w:ascii="Times New Roman" w:hAnsi="Times New Roman" w:cs="Times New Roman"/>
          <w:color w:val="000000"/>
          <w:kern w:val="0"/>
          <w:sz w:val="20"/>
          <w:szCs w:val="20"/>
        </w:rPr>
        <w:t>.</w:t>
      </w:r>
      <w:bookmarkEnd w:id="0"/>
    </w:p>
    <w:p w:rsidR="000F5EFE" w:rsidRDefault="000F5EFE" w:rsidP="000F5EFE">
      <w:pPr>
        <w:autoSpaceDE w:val="0"/>
        <w:autoSpaceDN w:val="0"/>
        <w:adjustRightInd w:val="0"/>
        <w:rPr>
          <w:rFonts w:ascii="Times New Roman" w:hAnsi="Times New Roman" w:cs="Times New Roman"/>
          <w:kern w:val="0"/>
          <w:sz w:val="24"/>
          <w:szCs w:val="24"/>
        </w:rPr>
      </w:pPr>
      <w:r>
        <w:rPr>
          <w:rFonts w:ascii="Times New Roman" w:hAnsi="Times New Roman" w:cs="Times New Roman"/>
          <w:color w:val="000000"/>
          <w:kern w:val="0"/>
          <w:sz w:val="20"/>
          <w:szCs w:val="20"/>
        </w:rPr>
        <w:t>[2].</w:t>
      </w:r>
      <w:r>
        <w:rPr>
          <w:rFonts w:ascii="Times New Roman" w:hAnsi="Times New Roman" w:cs="Times New Roman"/>
          <w:color w:val="000000"/>
          <w:kern w:val="0"/>
          <w:sz w:val="20"/>
          <w:szCs w:val="20"/>
        </w:rPr>
        <w:tab/>
      </w:r>
      <w:bookmarkStart w:id="1" w:name="_neb48852F6B_D6BD_4952_B51E_7E14B5BEC3FD"/>
      <w:r>
        <w:rPr>
          <w:rFonts w:ascii="宋体" w:eastAsia="宋体" w:hAnsi="Times New Roman" w:cs="宋体" w:hint="eastAsia"/>
          <w:color w:val="000000"/>
          <w:kern w:val="0"/>
          <w:sz w:val="20"/>
          <w:szCs w:val="20"/>
        </w:rPr>
        <w:t>刘额尔敦吐</w:t>
      </w:r>
      <w:r>
        <w:rPr>
          <w:rFonts w:ascii="Times New Roman" w:hAnsi="Times New Roman" w:cs="Times New Roman"/>
          <w:color w:val="000000"/>
          <w:kern w:val="0"/>
          <w:sz w:val="20"/>
          <w:szCs w:val="20"/>
        </w:rPr>
        <w:t xml:space="preserve">, </w:t>
      </w:r>
      <w:r>
        <w:rPr>
          <w:rFonts w:ascii="宋体" w:eastAsia="宋体" w:hAnsi="Times New Roman" w:cs="宋体" w:hint="eastAsia"/>
          <w:color w:val="000000"/>
          <w:kern w:val="0"/>
          <w:sz w:val="20"/>
          <w:szCs w:val="20"/>
        </w:rPr>
        <w:t>潘懋元教授的高等教育大众化理论研究</w:t>
      </w:r>
      <w:r>
        <w:rPr>
          <w:rFonts w:ascii="Times New Roman" w:hAnsi="Times New Roman" w:cs="Times New Roman"/>
          <w:color w:val="000000"/>
          <w:kern w:val="0"/>
          <w:sz w:val="20"/>
          <w:szCs w:val="20"/>
        </w:rPr>
        <w:t xml:space="preserve">. </w:t>
      </w:r>
      <w:r>
        <w:rPr>
          <w:rFonts w:ascii="宋体" w:eastAsia="宋体" w:hAnsi="Times New Roman" w:cs="宋体" w:hint="eastAsia"/>
          <w:color w:val="000000"/>
          <w:kern w:val="0"/>
          <w:sz w:val="20"/>
          <w:szCs w:val="20"/>
        </w:rPr>
        <w:t>高教发展与评估</w:t>
      </w:r>
      <w:r>
        <w:rPr>
          <w:rFonts w:ascii="Times New Roman" w:hAnsi="Times New Roman" w:cs="Times New Roman"/>
          <w:color w:val="000000"/>
          <w:kern w:val="0"/>
          <w:sz w:val="20"/>
          <w:szCs w:val="20"/>
        </w:rPr>
        <w:t xml:space="preserve">, 2009. 25(05): </w:t>
      </w:r>
      <w:r>
        <w:rPr>
          <w:rFonts w:ascii="宋体" w:eastAsia="宋体" w:hAnsi="Times New Roman" w:cs="宋体" w:hint="eastAsia"/>
          <w:color w:val="000000"/>
          <w:kern w:val="0"/>
          <w:sz w:val="20"/>
          <w:szCs w:val="20"/>
        </w:rPr>
        <w:t>第</w:t>
      </w:r>
      <w:r>
        <w:rPr>
          <w:rFonts w:ascii="Times New Roman" w:hAnsi="Times New Roman" w:cs="Times New Roman"/>
          <w:color w:val="000000"/>
          <w:kern w:val="0"/>
          <w:sz w:val="20"/>
          <w:szCs w:val="20"/>
        </w:rPr>
        <w:t>73-78+123</w:t>
      </w:r>
      <w:r>
        <w:rPr>
          <w:rFonts w:ascii="宋体" w:eastAsia="宋体" w:hAnsi="Times New Roman" w:cs="宋体" w:hint="eastAsia"/>
          <w:color w:val="000000"/>
          <w:kern w:val="0"/>
          <w:sz w:val="20"/>
          <w:szCs w:val="20"/>
        </w:rPr>
        <w:t>页</w:t>
      </w:r>
      <w:r>
        <w:rPr>
          <w:rFonts w:ascii="Times New Roman" w:hAnsi="Times New Roman" w:cs="Times New Roman"/>
          <w:color w:val="000000"/>
          <w:kern w:val="0"/>
          <w:sz w:val="20"/>
          <w:szCs w:val="20"/>
        </w:rPr>
        <w:t>.</w:t>
      </w:r>
      <w:bookmarkEnd w:id="1"/>
    </w:p>
    <w:p w:rsidR="000F5EFE" w:rsidRPr="00EC4710" w:rsidRDefault="00D53CED" w:rsidP="000F5EFE">
      <w:pPr>
        <w:autoSpaceDE w:val="0"/>
        <w:autoSpaceDN w:val="0"/>
        <w:adjustRightInd w:val="0"/>
        <w:jc w:val="left"/>
        <w:rPr>
          <w:sz w:val="24"/>
        </w:rPr>
      </w:pPr>
      <w:r>
        <w:rPr>
          <w:sz w:val="24"/>
        </w:rPr>
        <w:fldChar w:fldCharType="end"/>
      </w:r>
      <w:bookmarkStart w:id="2" w:name="_GoBack"/>
      <w:bookmarkEnd w:id="2"/>
    </w:p>
    <w:p w:rsidR="00EC4710" w:rsidRPr="00EC4710" w:rsidRDefault="00EC4710" w:rsidP="00D53CED">
      <w:pPr>
        <w:ind w:firstLineChars="200" w:firstLine="480"/>
        <w:rPr>
          <w:sz w:val="24"/>
        </w:rPr>
      </w:pPr>
    </w:p>
    <w:sectPr w:rsidR="00EC4710" w:rsidRPr="00EC47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E.Ref{49639F73-C003-4F63-AC28-4E48593223F4}" w:val=" ADDIN NE.Ref.{49639F73-C003-4F63-AC28-4E48593223F4}&lt;Citation&gt;&lt;Group&gt;&lt;References&gt;&lt;Item&gt;&lt;ID&gt;2230&lt;/ID&gt;&lt;UID&gt;{F877980D-3BD0-4F8D-BD95-66C369C97B4F}&lt;/UID&gt;&lt;Title&gt;权利还是特权:高等教育为谁服务——基于布鲁贝克《高等教育哲学》的思考&lt;/Title&gt;&lt;Template&gt;Journal Article&lt;/Template&gt;&lt;Star&gt;0&lt;/Star&gt;&lt;Tag&gt;0&lt;/Tag&gt;&lt;Author&gt;胡譞&lt;/Author&gt;&lt;Year&gt;2020&lt;/Year&gt;&lt;Details&gt;&lt;_author_adr&gt;上海师范大学教育学院;&lt;/_author_adr&gt;&lt;_db_provider&gt;CNKI&lt;/_db_provider&gt;&lt;_isbn&gt;1009-5349&lt;/_isbn&gt;&lt;_issue&gt;11&lt;/_issue&gt;&lt;_journal&gt;现代交际&lt;/_journal&gt;&lt;_keywords&gt;高等教育哲学;精英教育;大众教育&lt;/_keywords&gt;&lt;_pages&gt;205-206&lt;/_pages&gt;&lt;_created&gt;63770263&lt;/_created&gt;&lt;_modified&gt;63770263&lt;/_modified&gt;&lt;_translated_author&gt;Hu, Xuan&lt;/_translated_author&gt;&lt;/Details&gt;&lt;Extra&gt;&lt;DBUID&gt;{F96A950B-833F-4880-A151-76DA2D6A2879}&lt;/DBUID&gt;&lt;/Extra&gt;&lt;/Item&gt;&lt;/References&gt;&lt;/Group&gt;&lt;/Citation&gt;_x000a_"/>
    <w:docVar w:name="NE.Ref{C848EF7A-0F1C-4DF6-A714-DFCB685EFBB3}" w:val=" ADDIN NE.Ref.{C848EF7A-0F1C-4DF6-A714-DFCB685EFBB3}&lt;Citation&gt;&lt;Group&gt;&lt;References&gt;&lt;Item&gt;&lt;ID&gt;2230&lt;/ID&gt;&lt;UID&gt;{F877980D-3BD0-4F8D-BD95-66C369C97B4F}&lt;/UID&gt;&lt;Title&gt;权利还是特权:高等教育为谁服务——基于布鲁贝克《高等教育哲学》的思考&lt;/Title&gt;&lt;Template&gt;Journal Article&lt;/Template&gt;&lt;Star&gt;0&lt;/Star&gt;&lt;Tag&gt;0&lt;/Tag&gt;&lt;Author&gt;胡譞&lt;/Author&gt;&lt;Year&gt;2020&lt;/Year&gt;&lt;Details&gt;&lt;_author_adr&gt;上海师范大学教育学院;&lt;/_author_adr&gt;&lt;_db_provider&gt;CNKI&lt;/_db_provider&gt;&lt;_isbn&gt;1009-5349&lt;/_isbn&gt;&lt;_issue&gt;11&lt;/_issue&gt;&lt;_journal&gt;现代交际&lt;/_journal&gt;&lt;_keywords&gt;高等教育哲学;精英教育;大众教育&lt;/_keywords&gt;&lt;_pages&gt;205-206&lt;/_pages&gt;&lt;_created&gt;63770263&lt;/_created&gt;&lt;_modified&gt;63770263&lt;/_modified&gt;&lt;_translated_author&gt;Hu, Xuan&lt;/_translated_author&gt;&lt;/Details&gt;&lt;Extra&gt;&lt;DBUID&gt;{F96A950B-833F-4880-A151-76DA2D6A2879}&lt;/DBUID&gt;&lt;/Extra&gt;&lt;/Item&gt;&lt;/References&gt;&lt;/Group&gt;&lt;/Citation&gt;_x000a_"/>
    <w:docVar w:name="NE.Ref{F54902AD-D74C-47A6-AD3A-D0A79889741F}" w:val=" ADDIN NE.Ref.{F54902AD-D74C-47A6-AD3A-D0A79889741F}&lt;Citation&gt;&lt;Group&gt;&lt;References&gt;&lt;Item&gt;&lt;ID&gt;2232&lt;/ID&gt;&lt;UID&gt;{48852F6B-D6BD-4952-B51E-7E14B5BEC3FD}&lt;/UID&gt;&lt;Title&gt;潘懋元教授的高等教育大众化理论研究&lt;/Title&gt;&lt;Template&gt;Journal Article&lt;/Template&gt;&lt;Star&gt;0&lt;/Star&gt;&lt;Tag&gt;0&lt;/Tag&gt;&lt;Author&gt;刘额尔敦吐&lt;/Author&gt;&lt;Year&gt;2009&lt;/Year&gt;&lt;Details&gt;&lt;_author_adr&gt;内蒙古民族大学教育科学学院;&lt;/_author_adr&gt;&lt;_db_provider&gt;CNKI&lt;/_db_provider&gt;&lt;_isbn&gt;1672-8742&lt;/_isbn&gt;&lt;_issue&gt;05&lt;/_issue&gt;&lt;_journal&gt;高教发展与评估&lt;/_journal&gt;&lt;_keywords&gt;潘懋元;高等教育;大众化理论&lt;/_keywords&gt;&lt;_pages&gt;73-78+123&lt;/_pages&gt;&lt;_volume&gt;25&lt;/_volume&gt;&lt;_created&gt;63774568&lt;/_created&gt;&lt;_modified&gt;63774568&lt;/_modified&gt;&lt;_collection_scope&gt;CSSCI-E;PKU&lt;/_collection_scope&gt;&lt;_translated_author&gt;Liu, E&amp;apos;erduntu&lt;/_translated_author&gt;&lt;/Details&gt;&lt;Extra&gt;&lt;DBUID&gt;{F96A950B-833F-4880-A151-76DA2D6A2879}&lt;/DBUID&gt;&lt;/Extra&gt;&lt;/Item&gt;&lt;/References&gt;&lt;/Group&gt;&lt;/Citation&gt;_x000a_"/>
    <w:docVar w:name="ne_docsoft" w:val="MSWord"/>
    <w:docVar w:name="ne_docversion" w:val="NoteExpress 2.0"/>
    <w:docVar w:name="ne_stylename" w:val="Numbered(multilingual)"/>
  </w:docVars>
  <w:rsids>
    <w:rsidRoot w:val="0030498A"/>
    <w:rsid w:val="00000EB3"/>
    <w:rsid w:val="00090CB3"/>
    <w:rsid w:val="000F5EFE"/>
    <w:rsid w:val="0030498A"/>
    <w:rsid w:val="003E7D80"/>
    <w:rsid w:val="003F5949"/>
    <w:rsid w:val="004E15DF"/>
    <w:rsid w:val="00514CB9"/>
    <w:rsid w:val="005B1803"/>
    <w:rsid w:val="005C27AB"/>
    <w:rsid w:val="00635CFA"/>
    <w:rsid w:val="009A19C6"/>
    <w:rsid w:val="00B800A5"/>
    <w:rsid w:val="00D53CED"/>
    <w:rsid w:val="00E101AD"/>
    <w:rsid w:val="00E20D19"/>
    <w:rsid w:val="00EC1DEE"/>
    <w:rsid w:val="00EC4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961</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Madam-Shang</dc:creator>
  <cp:keywords/>
  <dc:description>NE.Ref</dc:description>
  <cp:lastModifiedBy>Madam-Shang</cp:lastModifiedBy>
  <cp:revision>5</cp:revision>
  <dcterms:created xsi:type="dcterms:W3CDTF">2021-03-31T10:56:00Z</dcterms:created>
  <dcterms:modified xsi:type="dcterms:W3CDTF">2021-04-03T13:55:00Z</dcterms:modified>
</cp:coreProperties>
</file>